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A6C" w:rsidRPr="00693B54" w:rsidRDefault="009F11FD" w:rsidP="00693B54">
      <w:pPr>
        <w:pStyle w:val="ConsPlusNormal"/>
        <w:jc w:val="both"/>
      </w:pPr>
      <w:r w:rsidRPr="00693B54">
        <w:object w:dxaOrig="7345" w:dyaOrig="101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pt;height:647pt" o:ole="">
            <v:imagedata r:id="rId6" o:title=""/>
          </v:shape>
          <o:OLEObject Type="Embed" ProgID="AcroExch.Document.7" ShapeID="_x0000_i1025" DrawAspect="Content" ObjectID="_1488526832" r:id="rId7"/>
        </w:object>
      </w:r>
    </w:p>
    <w:p w:rsidR="00897A6C" w:rsidRDefault="00897A6C">
      <w:pPr>
        <w:pStyle w:val="ConsPlusNormal"/>
        <w:ind w:firstLine="540"/>
        <w:jc w:val="both"/>
      </w:pPr>
    </w:p>
    <w:p w:rsidR="00897A6C" w:rsidRDefault="00897A6C">
      <w:pPr>
        <w:pStyle w:val="ConsPlusNormal"/>
        <w:jc w:val="right"/>
        <w:outlineLvl w:val="0"/>
      </w:pPr>
      <w:bookmarkStart w:id="0" w:name="Par24"/>
      <w:bookmarkEnd w:id="0"/>
      <w:r>
        <w:t>Приложение</w:t>
      </w:r>
    </w:p>
    <w:p w:rsidR="00897A6C" w:rsidRDefault="00897A6C">
      <w:pPr>
        <w:pStyle w:val="ConsPlusNormal"/>
        <w:jc w:val="right"/>
      </w:pPr>
      <w:r>
        <w:t>к Постановлению</w:t>
      </w:r>
    </w:p>
    <w:p w:rsidR="00897A6C" w:rsidRDefault="00897A6C">
      <w:pPr>
        <w:pStyle w:val="ConsPlusNormal"/>
        <w:jc w:val="right"/>
      </w:pPr>
      <w:r>
        <w:t>администрации города Канска</w:t>
      </w:r>
    </w:p>
    <w:p w:rsidR="00897A6C" w:rsidRDefault="00897A6C">
      <w:pPr>
        <w:pStyle w:val="ConsPlusNormal"/>
        <w:jc w:val="right"/>
      </w:pPr>
      <w:r>
        <w:t>от 1 февраля 2013 г. N 93</w:t>
      </w:r>
    </w:p>
    <w:p w:rsidR="00897A6C" w:rsidRDefault="00897A6C">
      <w:pPr>
        <w:pStyle w:val="ConsPlusNormal"/>
        <w:ind w:firstLine="540"/>
        <w:jc w:val="both"/>
      </w:pPr>
    </w:p>
    <w:p w:rsidR="00897A6C" w:rsidRDefault="00897A6C">
      <w:pPr>
        <w:pStyle w:val="ConsPlusNormal"/>
        <w:jc w:val="center"/>
      </w:pPr>
      <w:bookmarkStart w:id="1" w:name="Par29"/>
      <w:bookmarkEnd w:id="1"/>
      <w:r>
        <w:t>ВЕДОМСТВЕННЫЙ ПЕРЕЧЕНЬ</w:t>
      </w:r>
    </w:p>
    <w:p w:rsidR="00897A6C" w:rsidRDefault="00897A6C">
      <w:pPr>
        <w:pStyle w:val="ConsPlusNormal"/>
        <w:jc w:val="center"/>
      </w:pPr>
      <w:r>
        <w:t>МУНИЦИПАЛЬНЫХ УСЛУГ (РАБОТ), ОКАЗЫВАЕМЫХ (ВЫПОЛНЯЕМЫХ)</w:t>
      </w:r>
    </w:p>
    <w:p w:rsidR="00897A6C" w:rsidRDefault="00897A6C">
      <w:pPr>
        <w:pStyle w:val="ConsPlusNormal"/>
        <w:jc w:val="center"/>
      </w:pPr>
      <w:r>
        <w:t>МУНИЦИПАЛЬНЫМИ БЮДЖЕТНЫМИ И АВТОНОМНЫМИ ОБРАЗОВАТЕЛЬНЫМИ</w:t>
      </w:r>
    </w:p>
    <w:p w:rsidR="00897A6C" w:rsidRDefault="00897A6C">
      <w:pPr>
        <w:pStyle w:val="ConsPlusNormal"/>
        <w:jc w:val="center"/>
      </w:pPr>
      <w:r>
        <w:t>УЧРЕЖДЕНИЯМИ</w:t>
      </w:r>
    </w:p>
    <w:p w:rsidR="00897A6C" w:rsidRDefault="00897A6C">
      <w:pPr>
        <w:pStyle w:val="ConsPlusNormal"/>
        <w:ind w:firstLine="540"/>
        <w:jc w:val="both"/>
      </w:pPr>
    </w:p>
    <w:tbl>
      <w:tblPr>
        <w:tblW w:w="0" w:type="auto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/>
      </w:tblPr>
      <w:tblGrid>
        <w:gridCol w:w="480"/>
        <w:gridCol w:w="2016"/>
        <w:gridCol w:w="1632"/>
        <w:gridCol w:w="1440"/>
        <w:gridCol w:w="2208"/>
        <w:gridCol w:w="2016"/>
      </w:tblGrid>
      <w:tr w:rsidR="00897A6C">
        <w:trPr>
          <w:trHeight w:val="1280"/>
          <w:tblCellSpacing w:w="5" w:type="nil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N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п/п</w:t>
            </w:r>
          </w:p>
        </w:tc>
        <w:tc>
          <w:tcPr>
            <w:tcW w:w="2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Наименование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муниципальной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услуги (работы)  </w:t>
            </w:r>
          </w:p>
        </w:tc>
        <w:tc>
          <w:tcPr>
            <w:tcW w:w="16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Категории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потребителей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муниципальной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услуги (работы)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Единицы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измерения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показателя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объема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(содержания)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муниципальной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услуги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(работы)   </w:t>
            </w:r>
          </w:p>
        </w:tc>
        <w:tc>
          <w:tcPr>
            <w:tcW w:w="2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  Показатели,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характеризующие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   качество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муниципальной услуги </w:t>
            </w:r>
          </w:p>
        </w:tc>
        <w:tc>
          <w:tcPr>
            <w:tcW w:w="20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Наименования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муниципальных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учреждений (групп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учреждений),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 оказывающих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муниципальную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услугу (выполняющих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   работу)      </w:t>
            </w:r>
          </w:p>
        </w:tc>
      </w:tr>
      <w:tr w:rsidR="00897A6C">
        <w:trPr>
          <w:trHeight w:val="16160"/>
          <w:tblCellSpacing w:w="5" w:type="nil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1  </w:t>
            </w:r>
          </w:p>
        </w:tc>
        <w:tc>
          <w:tcPr>
            <w:tcW w:w="20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Услуга по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предоставлению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дошкольного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        </w:t>
            </w:r>
          </w:p>
        </w:tc>
        <w:tc>
          <w:tcPr>
            <w:tcW w:w="16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дети от 2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месяцев до 7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лет      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количество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детей        </w:t>
            </w:r>
          </w:p>
        </w:tc>
        <w:tc>
          <w:tcPr>
            <w:tcW w:w="22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1. Сохранение и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поддержание здоровья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детей: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число дней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непосещения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дошкольного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воспитанниками по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болезни (процент;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дней непосещения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дошкольного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воспитанниками по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болезни к общему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числу дето-дней по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плану;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ежеквартально);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отсутствие случаев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детского травматизма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воспитанников,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получивших травмы, к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общему количеству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воспитанников;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2. Укомплектованность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кадрами: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общий уровень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укомплектованности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кадрами (процент;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числа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занятых штатных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должностей по факту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без учета вакансий к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числу должностей по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штатному расписанию;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ежеквартально);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- доля педагогических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работников с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профессиональным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образованием в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соответствии с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профилем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осуществляемой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деятельности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педагогических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работников, включая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совместителей,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имеющих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профессиональное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образование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соответствии с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профилем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осуществляемой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деятельности, к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общему числу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педагогических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работников, включая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совместителей;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3. Доступность и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>качество образования: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число дней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непосещения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дошкольного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воспитанниками по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неуважительной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причине (процент;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дней непосещения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дошкольного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воспитанниками по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неуважительной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причине к общему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числу дето-дней по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плану;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ежеквартально);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готовность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выпускников к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обучению в первом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классе (процент;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выпускников, готовых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 обучению в первом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классе, к общему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выпускников;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итогам IV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квартала)            </w:t>
            </w:r>
          </w:p>
        </w:tc>
        <w:tc>
          <w:tcPr>
            <w:tcW w:w="20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муниципальные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бюджетные,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автономные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дошкольные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образовательные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        </w:t>
            </w:r>
          </w:p>
        </w:tc>
      </w:tr>
      <w:tr w:rsidR="00897A6C">
        <w:trPr>
          <w:tblCellSpacing w:w="5" w:type="nil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2  </w:t>
            </w:r>
          </w:p>
        </w:tc>
        <w:tc>
          <w:tcPr>
            <w:tcW w:w="20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Услуга по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предоставлению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начального общего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 по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общеобразовательным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         </w:t>
            </w:r>
          </w:p>
        </w:tc>
        <w:tc>
          <w:tcPr>
            <w:tcW w:w="16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дети с 6 лет 6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месяцев до 12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лет      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количество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 </w:t>
            </w:r>
          </w:p>
        </w:tc>
        <w:tc>
          <w:tcPr>
            <w:tcW w:w="22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1. Сохранение и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поддержание здоровья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детей: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число дней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пропусков занятий по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болезни в расчете на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одного обучающегося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суммарного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количества дней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непосещения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болезни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общеобразовательного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обучающимися к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общему числу учебных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дней; ежеквартально);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охват обучающихся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горячим питанием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обучающихся,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охваченных горячим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питанием, к общему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обучающихся;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Для   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общеобразовательных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учреждений,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реализующих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специальные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(коррекционные)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программы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дополнительно: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охват вторым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горячим питанием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 (процент;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охваченных вторым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горячим питанием, к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общему количеству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программам;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ежеквартально);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охват детей,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программам, группами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продленного дня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программам,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посещающих группу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продленного дня, к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общему количеству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программам;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2. Укомплектованность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кадрами: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общий уровень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укомплектованности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кадрами (процент;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числа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занятых штатных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должностей по факту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без учета вакансий к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числу должностей по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штатному расписанию;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ежеквартально);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доля учителей,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имеющих высшее или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среднее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профессиональное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образование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направлению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подготовки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"Образование и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педагогика"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области,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соответствующей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преподаваемому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предмету (процент;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учителей, имеющих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высшее или среднее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профессиональное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образование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направлению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подготовки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"Образование и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педагогика"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области,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соответствующей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преподаваемому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предмету, к общему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числу учителей,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включая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совместителей;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Для   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общеобразовательных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учреждений,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реализующих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специальные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(коррекционные)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программы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дополнительно: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общий уровень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укомплектованности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специалистами службы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сопровождения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 (процент;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числа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вакансий по факту к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числу единиц по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штатному расписанию;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ежеквартально);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- доля педагогических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кадров с высшим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профессиональным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образованием, имеющих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профессиональную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подготовку для работы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 обучающимися по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 (процент;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педагогов, прошедших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курсовую подготовку,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профессиональную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переподготовку или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имеющих специальное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высшее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профессиональное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образование, к общему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числу педагогов,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работающих с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обучающимися по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программам;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3. Укомплектованность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кабинетов учебным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оборудованием: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общий уровень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укомплектованности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кабинетов учебным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оборудованием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единиц учебного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оборудования по факту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 требуемому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единиц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учебного оборудования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перечню,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необходимому для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реализации основной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образовательной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программы; по итогам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III квартала).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Для   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общеобразовательных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учреждений,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реализующих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специальные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(коррекционные)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программы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дополнительно: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укомплектованность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кабинетов специальных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(коррекционных)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классов и кабинетов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специалистов службы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сопровождения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оборудованием для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предоставления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коррекционной помощи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единиц оборудования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для оказания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коррекционной помощи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факту к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требуемому количеству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единиц оборудования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перечню,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необходимому для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реализации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коррекционной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программы; по итогам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III квартала).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4. Доступность и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качество образования: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охват детей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образовательной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услугой (процент;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к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детей,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проживающих на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территории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образовательного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и имеющих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право на получение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муниципальном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общеобразовательном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учреждении;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ежеквартально);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доля обучающихся,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окончивших начальное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общее образование и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перешедших на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следующую ступень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образования (процент;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обучающихся,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получивших начальное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общее образование и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перешедших на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следующую ступень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образования, к общему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выпускников 4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классов; оценивается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итогам II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квартала)            </w:t>
            </w:r>
          </w:p>
        </w:tc>
        <w:tc>
          <w:tcPr>
            <w:tcW w:w="20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муниципальные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бюджетные и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автономные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общеобразовательные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        </w:t>
            </w:r>
          </w:p>
        </w:tc>
      </w:tr>
      <w:tr w:rsidR="00897A6C">
        <w:trPr>
          <w:tblCellSpacing w:w="5" w:type="nil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3  </w:t>
            </w:r>
          </w:p>
        </w:tc>
        <w:tc>
          <w:tcPr>
            <w:tcW w:w="20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Услуга по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предоставлению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основного общего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 по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общеобразовательным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         </w:t>
            </w:r>
          </w:p>
        </w:tc>
        <w:tc>
          <w:tcPr>
            <w:tcW w:w="16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дети с 10 до 18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лет; для очно-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заочной,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заочной форм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обучения,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обучения в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форме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экстерната,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семейного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образования,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самообразования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возраст не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ограничен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количество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 </w:t>
            </w:r>
          </w:p>
        </w:tc>
        <w:tc>
          <w:tcPr>
            <w:tcW w:w="22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1. Сохранение и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поддержание здоровья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детей: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число дней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пропусков занятий по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болезни в расчете на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одного обучающегося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суммарного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количества дней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непосещения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болезни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общеобразовательного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обучающимися к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общему числу учебных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дней; ежеквартально);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охват обучающихся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горячим питанием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обучающихся,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охваченных горячим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питанием, к общему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обучающихся;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Для   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общеобразовательных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учреждений,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реализующих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специальные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(коррекционные)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программы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дополнительно: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охват вторым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горячим питанием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 (процент;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охваченных вторым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горячим питанием, к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общему количеству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программам;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ежеквартально);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охват детей,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программам, группами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продленного дня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посещающих группу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продленного дня, к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общему количеству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программам;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2. Укомплектованность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кадрами: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общий уровень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укомплектованности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кадрами (процент;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числа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занятых штатных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должностей по факту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без учета вакансий к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числу должностей по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штатному расписанию;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ежеквартально);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доля учителей,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имеющих высшее или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среднее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профессиональное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образование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направлению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подготовки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"Образование и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педагогика"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области,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соответствующей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преподаваемому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предмету (процент;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учителей, имеющих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высшее или среднее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профессиональное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образование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направлению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подготовки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"Образование и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педагогика"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области,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соответствующей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преподаваемому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предмету, к общему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числу учителей,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включая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совместителей;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Для   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общеобразовательных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учреждений,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реализующих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специальные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(коррекционные)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программы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дополнительно: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общий уровень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укомплектованности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специалистами службы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сопровождения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 (процент;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числа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вакансий по факту к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числу единиц по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штатному расписанию;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ежеквартально);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- доля педагогических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кадров с высшим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профессиональным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образованием, имеющих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профессиональную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подготовку для работы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 обучающимися по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 (процент;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педагогов, прошедших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курсовую подготовку,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профессиональную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переподготовку или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имеющих специальное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высшее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профессиональное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образование к общему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числу педагогов,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работающих с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обучающимися по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(коррекционным)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программам;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3. Укомплектованность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кабинетов учебным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оборудованием: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общий уровень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укомплектованности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кабинетов учебным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оборудованием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единиц учебного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оборудования по факту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 требуемому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единиц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учебного оборудования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перечню,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необходимому для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реализации основной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образовательной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программы; по итогам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III квартала);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- количество учеников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на 1 компьютер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(человек;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к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компьютеров,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задействованных в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учебном процессе;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Для   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общеобразовательных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учреждений,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реализующих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специальные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(коррекционные)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программы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дополнительно: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укомплектованность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кабинетов специальных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(коррекционных)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классов и кабинетов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специалистов службы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сопровождения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специальным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оборудованием для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предоставления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коррекционной помощи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единиц оборудования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для оказания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коррекционной помощи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факту к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требуемому количеству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единиц оборудования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перечню,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необходимому для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реализации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коррекционной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программы; по итогам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III квартала).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4. Доступность и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качество образования: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охват детей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образовательной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услугой (процент;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как отношение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количества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к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детей,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проживающих на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территории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образовательного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и имеющих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право на получение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муниципальном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общеобразовательном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учреждении;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ежеквартально);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доля обучающихся,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получивших основное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общее образование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выпускников 9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классов, получивших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аттестат об основном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общем, к общему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выпускников 9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классов;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итогам II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квартала);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доля обучающихся,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получивших основное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общее образование и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продолжающих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обучаться по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программе среднего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(полного) общего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образования (процент;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выпускников 9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классов, получивших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основное общее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образование и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продолжающих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обучаться по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программе среднего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(полного) общего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>образования, к общему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обучающихся,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получивших основное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общее образование; по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итогам III квартала).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Для   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общеобразовательных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учреждений,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реализующих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специальные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(коррекционные)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программы VII и VIII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вида дополнительно: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доля выпускников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специальных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(коррекционных)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классов, продолживших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обучение в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учреждениях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профессионального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образования (процент;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выпускников 9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классов, успешно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освоивших специальную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(коррекционную)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программу и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продолживших обучение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 учреждениях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профессионального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образования, к общему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выпускников 9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классов, обучавшихся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специальной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(коррекционной)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программе;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оценивается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итогам III квартала) </w:t>
            </w:r>
          </w:p>
        </w:tc>
        <w:tc>
          <w:tcPr>
            <w:tcW w:w="20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муниципальные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бюджетные и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автономные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общеобразовательные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        </w:t>
            </w:r>
          </w:p>
        </w:tc>
      </w:tr>
      <w:tr w:rsidR="00897A6C">
        <w:trPr>
          <w:trHeight w:val="31040"/>
          <w:tblCellSpacing w:w="5" w:type="nil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4  </w:t>
            </w:r>
          </w:p>
        </w:tc>
        <w:tc>
          <w:tcPr>
            <w:tcW w:w="20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Услуга по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предоставлению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среднего (полного)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общего образования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 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общеобразовательным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программам         </w:t>
            </w:r>
          </w:p>
        </w:tc>
        <w:tc>
          <w:tcPr>
            <w:tcW w:w="16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дети с 14 до 18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лет; для очно-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заочной,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заочной форм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обучения,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обучения в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форме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экстерната,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семейного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образования,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самообразования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возраст не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ограничен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количество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 </w:t>
            </w:r>
          </w:p>
        </w:tc>
        <w:tc>
          <w:tcPr>
            <w:tcW w:w="22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1. Сохранение и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поддержание здоровья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детей: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число дней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пропусков занятий по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болезни в расчете на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одного обучающегося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суммарного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количества дней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непосещения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болезни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общеобразовательного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обучающимися к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общему числу учебных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дней; ежеквартально);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охват обучающихся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горячим питанием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обучающихся,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охваченных горячим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питанием, к общему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обучающихся;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2. Укомплектованность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кадрами: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общий уровень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укомплектованности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кадрами (процент;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числа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занятых штатных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должностей по факту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без учета вакансий к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числу должностей по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штатному расписанию;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ежеквартально);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доля учителей,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имеющих высшее или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среднее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профессиональное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образование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направлению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подготовки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"Образование и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педагогика"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области,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соответствующей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преподаваемому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предмету (процент;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учителей, имеющих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высшее или среднее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профессиональное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образование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направлению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подготовки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"Образование и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педагогика"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области,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соответствующей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преподаваемому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предмету, к общему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числу учителей,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включая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совместителей;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3. Укомплектованность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кабинетов учебным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оборудованием: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общий уровень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укомплектованности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кабинетов учебным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оборудованием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единиц учебного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оборудования по факту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 требуемому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единиц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учебного оборудования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перечню,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необходимому для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реализации основной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образовательной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программы; по итогам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III квартала);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- количество учеников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на 1 компьютер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(человек;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к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компьютеров,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задействованных в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учебном процессе;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4. Доступность и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качество образования: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охват детей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образовательной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услугой (процент;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к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детей,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проживающих на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территории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образовательного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и имеющих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право на получение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муниципальном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общеобразовательном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учреждении;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ежеквартально);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доля учащихся,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вовлеченных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различные этапы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Всероссийской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олимпиады (процент;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учащихся, вовлеченных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 научно-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исследовательскую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деятельность и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участвующих в этапах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Всероссийской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олимпиады, к общему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количеству учащихся;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итогам II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квартала);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доля обучающихся,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получивших среднее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(полное) общее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образование (процент;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выпускников 11 (12)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классов, получивших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аттестат о среднем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(полном) общем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образовании, к общему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выпускников 11 (12)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классов; по итогам II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квартала);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- доля выпускников 11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(12) классов, успешно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сдавших ЕГЭ по всем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предметам, сдаваемым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выбору выпускника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выпускников 11 (12)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классов, успешно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сдавших ЕГЭ по всем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предметам, сдаваемым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по выбору выпускника,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 общему количеству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выпускников 11 (12)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классов, сдававшим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ЕГЭ по предметам по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выбору; по итогам II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квартала);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- доля выпускников 11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(12) классов,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продолживших обучение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 учреждениях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среднего и высшего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профессионального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образования (процент;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выпускников,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продолживших обучение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 учреждениях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среднего и высшего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профессионального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образования, к общему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выпускников 11 (12)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классов; по итогам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III квартала)        </w:t>
            </w:r>
          </w:p>
        </w:tc>
        <w:tc>
          <w:tcPr>
            <w:tcW w:w="20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муниципальные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бюджетные и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автономные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общеобразовательные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        </w:t>
            </w:r>
          </w:p>
        </w:tc>
      </w:tr>
      <w:tr w:rsidR="00897A6C">
        <w:trPr>
          <w:trHeight w:val="19200"/>
          <w:tblCellSpacing w:w="5" w:type="nil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5  </w:t>
            </w:r>
          </w:p>
        </w:tc>
        <w:tc>
          <w:tcPr>
            <w:tcW w:w="20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Услуга по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предоставлению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дополнительного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        </w:t>
            </w:r>
          </w:p>
        </w:tc>
        <w:tc>
          <w:tcPr>
            <w:tcW w:w="16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дети с 6 до 18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лет      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количество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 </w:t>
            </w:r>
          </w:p>
        </w:tc>
        <w:tc>
          <w:tcPr>
            <w:tcW w:w="22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1. Сохранение и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поддержание здоровья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детей (определяется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только для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общеобразовательных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учреждений):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доля обучающихся в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объединениях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дополнительного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физкультурно-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спортивной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направленности в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учреждении (процент;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обучающихся,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занимающихся в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объединениях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физкультурно-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спортивной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направленности в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учреждении, к общему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обучающихся;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2. Укомплектованность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кадрами: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общий уровень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укомплектованности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кадрами (процент;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числа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занятых штатных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должностей по факту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без учета вакансий к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числу должностей по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штатному расписанию;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ежеквартально);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доля педагогов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дополнительного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 с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профессиональным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образованием в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соответствии с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профилем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осуществляемой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деятельности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педагогов, включая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совместителей,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имеющих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профессиональное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образование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соответствии с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профилем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осуществляемой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деятельности, к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общему числу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педагогов, включая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совместителей;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3. Доступность и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качество образования: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охват обучающихся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дополнительным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образованием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для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общеобразовательных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учреждений как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объединениях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дополнительного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к общему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учреждении, для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учреждений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дополнительного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 детей -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как отношение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количества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объединениях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дополнительного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учреждения по факту к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количеству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нормативам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наполняемости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объединений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учреждения;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ежеквартально).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достижение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образовательного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результата,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определенного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образовательной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программой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дополнительного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образования (процент;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обучающихся, успешно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освоивших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образовательную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программу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дополнительного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образования, к числу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поступивших на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обучение по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соответствующей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программе; по итогам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II квартала)         </w:t>
            </w:r>
          </w:p>
        </w:tc>
        <w:tc>
          <w:tcPr>
            <w:tcW w:w="20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муниципальные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бюджетные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дополнительного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 детей,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муниципальные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бюджетные и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автономные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общеобразовательные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        </w:t>
            </w:r>
          </w:p>
        </w:tc>
      </w:tr>
      <w:tr w:rsidR="00897A6C">
        <w:trPr>
          <w:trHeight w:val="15200"/>
          <w:tblCellSpacing w:w="5" w:type="nil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6  </w:t>
            </w:r>
          </w:p>
        </w:tc>
        <w:tc>
          <w:tcPr>
            <w:tcW w:w="20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Услуга по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организации отдыха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детей в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каникулярное время </w:t>
            </w:r>
          </w:p>
        </w:tc>
        <w:tc>
          <w:tcPr>
            <w:tcW w:w="16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дети с 6 лет 6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месяцев до 18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лет            </w:t>
            </w:r>
          </w:p>
        </w:tc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количество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детей        </w:t>
            </w:r>
          </w:p>
        </w:tc>
        <w:tc>
          <w:tcPr>
            <w:tcW w:w="220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1. Сохранность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контингента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отдыхающих детей: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сохранность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контингента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отдыхающих детей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детей, отдыхающих на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протяжении всего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сезона в учреждении,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 числу поступивших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на отдых детей в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учреждении; по итогам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III квартала);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отсутствие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нарушений детьми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режима пребывания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детей, нарушивших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режим пребывания, к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общему количеству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детей, охваченных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отдыхом; по итогам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III квартала).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2. Укомплектованность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кадрами: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общий уровень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укомплектованности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кадрами (процент;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числа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занятых штатных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должностей по факту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без учета вакансий к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числу должностей по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штатному расписанию;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итогам III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квартала);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доля педагогов с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профессиональным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образованием в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соответствии с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профилем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осуществляемой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деятельности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педагогов, включая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совместителей,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имеющих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профессиональное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образование в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соответствии с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профилем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осуществляемой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деятельности, к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общему числу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педагогов, включая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совместителей; по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итогам III квартала).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3. Качество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организации отдыха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детей:   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отсутствие случаев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детского травматизма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(процент; 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детей, охваченных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отдыхом в учреждении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и получивших травмы,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 общему количеству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детей, охваченных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отдыхом в учреждении;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по итогам III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квартала); 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- достижение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оздоровительного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эффекта (процент;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определяется как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отношение количества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детей, охваченных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отдыхом в учреждении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и получивших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оздоровительный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эффект, к общему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числу детей,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охваченных отдыхом в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учреждении; по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итогам III квартала) </w:t>
            </w:r>
          </w:p>
        </w:tc>
        <w:tc>
          <w:tcPr>
            <w:tcW w:w="20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lastRenderedPageBreak/>
              <w:t xml:space="preserve">муниципальные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бюджетные 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дополнительного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образования детей,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муниципальные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бюджетные и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автономные         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общеобразовательные</w:t>
            </w:r>
          </w:p>
          <w:p w:rsidR="00897A6C" w:rsidRDefault="00897A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учреждения         </w:t>
            </w:r>
          </w:p>
        </w:tc>
      </w:tr>
    </w:tbl>
    <w:p w:rsidR="00897A6C" w:rsidRDefault="00897A6C">
      <w:pPr>
        <w:pStyle w:val="ConsPlusNormal"/>
        <w:ind w:firstLine="540"/>
        <w:jc w:val="both"/>
      </w:pPr>
    </w:p>
    <w:p w:rsidR="00897A6C" w:rsidRDefault="00897A6C">
      <w:pPr>
        <w:pStyle w:val="ConsPlusNormal"/>
        <w:jc w:val="right"/>
      </w:pPr>
      <w:r>
        <w:t>Начальник</w:t>
      </w:r>
    </w:p>
    <w:p w:rsidR="00897A6C" w:rsidRDefault="00897A6C">
      <w:pPr>
        <w:pStyle w:val="ConsPlusNormal"/>
        <w:jc w:val="right"/>
      </w:pPr>
      <w:r>
        <w:t>МКУ "УО администрации г. Канска"</w:t>
      </w:r>
    </w:p>
    <w:p w:rsidR="00897A6C" w:rsidRDefault="00897A6C">
      <w:pPr>
        <w:pStyle w:val="ConsPlusNormal"/>
        <w:jc w:val="right"/>
      </w:pPr>
      <w:r>
        <w:t>А.П.ПАНОВ</w:t>
      </w:r>
    </w:p>
    <w:p w:rsidR="00897A6C" w:rsidRDefault="00897A6C">
      <w:pPr>
        <w:pStyle w:val="ConsPlusNormal"/>
        <w:ind w:firstLine="540"/>
        <w:jc w:val="both"/>
      </w:pPr>
    </w:p>
    <w:p w:rsidR="00897A6C" w:rsidRDefault="00897A6C">
      <w:pPr>
        <w:pStyle w:val="ConsPlusNormal"/>
        <w:ind w:firstLine="540"/>
        <w:jc w:val="both"/>
      </w:pPr>
    </w:p>
    <w:p w:rsidR="00897A6C" w:rsidRDefault="00897A6C">
      <w:pPr>
        <w:pStyle w:val="ConsPlusNormal"/>
        <w:pBdr>
          <w:top w:val="single" w:sz="6" w:space="0" w:color="auto"/>
        </w:pBdr>
        <w:spacing w:before="100" w:after="100"/>
        <w:rPr>
          <w:sz w:val="2"/>
          <w:szCs w:val="2"/>
        </w:rPr>
      </w:pPr>
    </w:p>
    <w:sectPr w:rsidR="00897A6C">
      <w:headerReference w:type="default" r:id="rId8"/>
      <w:footerReference w:type="default" r:id="rId9"/>
      <w:pgSz w:w="11906" w:h="16838"/>
      <w:pgMar w:top="1134" w:right="566" w:bottom="1134" w:left="1133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78AB" w:rsidRDefault="00CC78AB">
      <w:pPr>
        <w:spacing w:after="0" w:line="240" w:lineRule="auto"/>
      </w:pPr>
      <w:r>
        <w:separator/>
      </w:r>
    </w:p>
  </w:endnote>
  <w:endnote w:type="continuationSeparator" w:id="1">
    <w:p w:rsidR="00CC78AB" w:rsidRDefault="00CC7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A6C" w:rsidRDefault="00897A6C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3346"/>
      <w:gridCol w:w="3555"/>
      <w:gridCol w:w="3346"/>
    </w:tblGrid>
    <w:tr w:rsidR="00897A6C">
      <w:tblPrEx>
        <w:tblCellMar>
          <w:top w:w="0" w:type="dxa"/>
          <w:bottom w:w="0" w:type="dxa"/>
        </w:tblCellMar>
      </w:tblPrEx>
      <w:trPr>
        <w:trHeight w:hRule="exact" w:val="1663"/>
        <w:tblCellSpacing w:w="5" w:type="nil"/>
      </w:trPr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897A6C" w:rsidRDefault="00897A6C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b/>
              <w:bCs/>
              <w:color w:val="333399"/>
              <w:sz w:val="28"/>
              <w:szCs w:val="28"/>
            </w:rPr>
          </w:pPr>
          <w:r>
            <w:rPr>
              <w:rFonts w:ascii="Tahoma" w:hAnsi="Tahoma" w:cs="Tahoma"/>
              <w:b/>
              <w:bCs/>
              <w:color w:val="333399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bCs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897A6C" w:rsidRDefault="00897A6C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ahoma" w:hAnsi="Tahoma" w:cs="Tahoma"/>
              <w:b/>
              <w:bCs/>
              <w:sz w:val="20"/>
              <w:szCs w:val="20"/>
            </w:rPr>
          </w:pPr>
          <w:hyperlink r:id="rId1" w:history="1">
            <w:r>
              <w:rPr>
                <w:rFonts w:ascii="Tahoma" w:hAnsi="Tahoma" w:cs="Tahoma"/>
                <w:b/>
                <w:bCs/>
                <w:color w:val="0000FF"/>
                <w:sz w:val="20"/>
                <w:szCs w:val="20"/>
              </w:rPr>
              <w:t>www.consultant.ru</w:t>
            </w:r>
          </w:hyperlink>
        </w:p>
      </w:tc>
      <w:tc>
        <w:tcPr>
          <w:tcW w:w="1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897A6C" w:rsidRDefault="00897A6C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20"/>
              <w:szCs w:val="20"/>
            </w:rPr>
          </w:pPr>
          <w:r>
            <w:rPr>
              <w:rFonts w:ascii="Tahoma" w:hAnsi="Tahoma" w:cs="Tahoma"/>
              <w:sz w:val="20"/>
              <w:szCs w:val="20"/>
            </w:rPr>
            <w:t xml:space="preserve">Страница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\PAGE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520FC1">
            <w:rPr>
              <w:rFonts w:ascii="Tahoma" w:hAnsi="Tahoma" w:cs="Tahoma"/>
              <w:noProof/>
              <w:sz w:val="20"/>
              <w:szCs w:val="20"/>
            </w:rPr>
            <w:t>21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  <w:r>
            <w:rPr>
              <w:rFonts w:ascii="Tahoma" w:hAnsi="Tahoma" w:cs="Tahoma"/>
              <w:sz w:val="20"/>
              <w:szCs w:val="20"/>
            </w:rPr>
            <w:t xml:space="preserve"> из </w:t>
          </w:r>
          <w:r>
            <w:rPr>
              <w:rFonts w:ascii="Tahoma" w:hAnsi="Tahoma" w:cs="Tahoma"/>
              <w:sz w:val="20"/>
              <w:szCs w:val="20"/>
            </w:rPr>
            <w:fldChar w:fldCharType="begin"/>
          </w:r>
          <w:r>
            <w:rPr>
              <w:rFonts w:ascii="Tahoma" w:hAnsi="Tahoma" w:cs="Tahoma"/>
              <w:sz w:val="20"/>
              <w:szCs w:val="20"/>
            </w:rPr>
            <w:instrText>\NUMPAGES</w:instrText>
          </w:r>
          <w:r>
            <w:rPr>
              <w:rFonts w:ascii="Tahoma" w:hAnsi="Tahoma" w:cs="Tahoma"/>
              <w:sz w:val="20"/>
              <w:szCs w:val="20"/>
            </w:rPr>
            <w:fldChar w:fldCharType="separate"/>
          </w:r>
          <w:r w:rsidR="00520FC1">
            <w:rPr>
              <w:rFonts w:ascii="Tahoma" w:hAnsi="Tahoma" w:cs="Tahoma"/>
              <w:noProof/>
              <w:sz w:val="20"/>
              <w:szCs w:val="20"/>
            </w:rPr>
            <w:t>21</w:t>
          </w:r>
          <w:r>
            <w:rPr>
              <w:rFonts w:ascii="Tahoma" w:hAnsi="Tahoma" w:cs="Tahoma"/>
              <w:sz w:val="20"/>
              <w:szCs w:val="20"/>
            </w:rPr>
            <w:fldChar w:fldCharType="end"/>
          </w:r>
        </w:p>
      </w:tc>
    </w:tr>
  </w:tbl>
  <w:p w:rsidR="00897A6C" w:rsidRDefault="00897A6C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78AB" w:rsidRDefault="00CC78AB">
      <w:pPr>
        <w:spacing w:after="0" w:line="240" w:lineRule="auto"/>
      </w:pPr>
      <w:r>
        <w:separator/>
      </w:r>
    </w:p>
  </w:footnote>
  <w:footnote w:type="continuationSeparator" w:id="1">
    <w:p w:rsidR="00CC78AB" w:rsidRDefault="00CC78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Spacing w:w="5" w:type="nil"/>
      <w:tblInd w:w="40" w:type="dxa"/>
      <w:tblCellMar>
        <w:left w:w="40" w:type="dxa"/>
        <w:right w:w="40" w:type="dxa"/>
      </w:tblCellMar>
      <w:tblLook w:val="0000"/>
    </w:tblPr>
    <w:tblGrid>
      <w:gridCol w:w="5646"/>
      <w:gridCol w:w="418"/>
      <w:gridCol w:w="4183"/>
    </w:tblGrid>
    <w:tr w:rsidR="00897A6C">
      <w:tblPrEx>
        <w:tblCellMar>
          <w:top w:w="0" w:type="dxa"/>
          <w:bottom w:w="0" w:type="dxa"/>
        </w:tblCellMar>
      </w:tblPrEx>
      <w:trPr>
        <w:trHeight w:hRule="exact" w:val="1683"/>
        <w:tblCellSpacing w:w="5" w:type="nil"/>
      </w:trPr>
      <w:tc>
        <w:tcPr>
          <w:tcW w:w="27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897A6C" w:rsidRDefault="00897A6C">
          <w:pPr>
            <w:widowControl w:val="0"/>
            <w:autoSpaceDE w:val="0"/>
            <w:autoSpaceDN w:val="0"/>
            <w:adjustRightInd w:val="0"/>
            <w:spacing w:after="0" w:line="240" w:lineRule="auto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6"/>
              <w:szCs w:val="16"/>
            </w:rPr>
            <w:t>Постановление администрации г. Канска Красноярского края от 01.02.2013 N 93</w:t>
          </w:r>
          <w:r>
            <w:rPr>
              <w:rFonts w:ascii="Tahoma" w:hAnsi="Tahoma" w:cs="Tahoma"/>
              <w:sz w:val="16"/>
              <w:szCs w:val="16"/>
            </w:rPr>
            <w:br/>
            <w:t>"О внесении изменений в Постановление админи...</w:t>
          </w:r>
        </w:p>
      </w:tc>
      <w:tc>
        <w:tcPr>
          <w:tcW w:w="2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897A6C" w:rsidRDefault="00897A6C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897A6C" w:rsidRDefault="00897A6C">
          <w:pPr>
            <w:widowControl w:val="0"/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20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897A6C" w:rsidRDefault="00897A6C">
          <w:pPr>
            <w:widowControl w:val="0"/>
            <w:autoSpaceDE w:val="0"/>
            <w:autoSpaceDN w:val="0"/>
            <w:adjustRightInd w:val="0"/>
            <w:spacing w:after="0" w:line="240" w:lineRule="auto"/>
            <w:jc w:val="right"/>
            <w:rPr>
              <w:rFonts w:ascii="Tahoma" w:hAnsi="Tahoma" w:cs="Tahoma"/>
              <w:sz w:val="16"/>
              <w:szCs w:val="16"/>
            </w:rPr>
          </w:pPr>
          <w:r>
            <w:rPr>
              <w:rFonts w:ascii="Tahoma" w:hAnsi="Tahoma" w:cs="Tahoma"/>
              <w:sz w:val="18"/>
              <w:szCs w:val="18"/>
            </w:rPr>
            <w:t xml:space="preserve">Документ предоставлен </w:t>
          </w:r>
          <w:hyperlink r:id="rId1" w:history="1">
            <w:r>
              <w:rPr>
                <w:rFonts w:ascii="Tahoma" w:hAnsi="Tahoma" w:cs="Tahoma"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20.03.2015</w:t>
          </w:r>
        </w:p>
      </w:tc>
    </w:tr>
  </w:tbl>
  <w:p w:rsidR="00897A6C" w:rsidRDefault="00897A6C">
    <w:pPr>
      <w:widowControl w:val="0"/>
      <w:pBdr>
        <w:bottom w:val="single" w:sz="12" w:space="0" w:color="auto"/>
      </w:pBdr>
      <w:autoSpaceDE w:val="0"/>
      <w:autoSpaceDN w:val="0"/>
      <w:adjustRightInd w:val="0"/>
      <w:spacing w:after="0" w:line="240" w:lineRule="auto"/>
      <w:jc w:val="center"/>
      <w:rPr>
        <w:rFonts w:ascii="Times New Roman" w:hAnsi="Times New Roman" w:cs="Times New Roman"/>
        <w:sz w:val="2"/>
        <w:szCs w:val="2"/>
      </w:rPr>
    </w:pPr>
  </w:p>
  <w:p w:rsidR="00897A6C" w:rsidRDefault="00897A6C">
    <w:r>
      <w:rPr>
        <w:rFonts w:ascii="Times New Roman" w:hAnsi="Times New Roman" w:cs="Times New Roman"/>
        <w:sz w:val="10"/>
        <w:szCs w:val="10"/>
      </w:rPr>
      <w:t xml:space="preserve">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2015CB"/>
    <w:rsid w:val="002015CB"/>
    <w:rsid w:val="00520FC1"/>
    <w:rsid w:val="00693B54"/>
    <w:rsid w:val="00897A6C"/>
    <w:rsid w:val="009F11FD"/>
    <w:rsid w:val="00CC7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Calibri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rsid w:val="00693B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Pr>
      <w:rFonts w:cs="Calibri"/>
    </w:rPr>
  </w:style>
  <w:style w:type="paragraph" w:styleId="a5">
    <w:name w:val="footer"/>
    <w:basedOn w:val="a"/>
    <w:link w:val="a6"/>
    <w:uiPriority w:val="99"/>
    <w:rsid w:val="00693B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4075</Words>
  <Characters>23233</Characters>
  <Application>Microsoft Office Word</Application>
  <DocSecurity>0</DocSecurity>
  <Lines>193</Lines>
  <Paragraphs>54</Paragraphs>
  <ScaleCrop>false</ScaleCrop>
  <Company/>
  <LinksUpToDate>false</LinksUpToDate>
  <CharactersWithSpaces>27254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администрации г. Канска Красноярского края от 01.02.2013 N 93"О внесении изменений в Постановление администрации города Канска от 07.10.2011 N 1843"</dc:title>
  <dc:creator>ConsultantPlus</dc:creator>
  <cp:lastModifiedBy>Пользователь</cp:lastModifiedBy>
  <cp:revision>2</cp:revision>
  <dcterms:created xsi:type="dcterms:W3CDTF">2015-03-22T03:54:00Z</dcterms:created>
  <dcterms:modified xsi:type="dcterms:W3CDTF">2015-03-22T03:54:00Z</dcterms:modified>
</cp:coreProperties>
</file>